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ind w:left="0" w:leftChars="0" w:right="0" w:firstLine="883" w:firstLineChars="200"/>
        <w:jc w:val="right"/>
        <w:textAlignment w:val="auto"/>
        <w:outlineLvl w:val="9"/>
        <w:rPr>
          <w:rFonts w:eastAsia="仿宋"/>
          <w:sz w:val="32"/>
          <w:szCs w:val="32"/>
        </w:rPr>
      </w:pPr>
      <w:bookmarkStart w:id="0" w:name="_GoBack"/>
      <w:bookmarkEnd w:id="0"/>
      <w:r>
        <w:rPr>
          <w:rFonts w:hint="eastAsia" w:ascii="黑体" w:hAnsi="黑体" w:eastAsia="黑体" w:cs="黑体"/>
          <w:b w:val="0"/>
          <w:bCs/>
          <w:sz w:val="36"/>
          <w:szCs w:val="36"/>
          <w:lang w:val="en-US" w:eastAsia="zh-CN"/>
        </w:rPr>
        <w:t xml:space="preserve"> </w:t>
      </w:r>
      <w:r>
        <w:rPr>
          <w:b/>
          <w:sz w:val="44"/>
          <w:szCs w:val="44"/>
        </w:rPr>
        <w:t xml:space="preserve">     </w:t>
      </w:r>
      <w:r>
        <w:rPr>
          <w:rFonts w:eastAsia="仿宋"/>
          <w:sz w:val="32"/>
          <w:szCs w:val="32"/>
        </w:rPr>
        <w:t>【</w:t>
      </w:r>
      <w:r>
        <w:rPr>
          <w:rFonts w:ascii="黑体" w:hAnsi="黑体" w:eastAsia="黑体"/>
          <w:sz w:val="32"/>
          <w:szCs w:val="32"/>
        </w:rPr>
        <w:t>B</w:t>
      </w:r>
      <w:r>
        <w:rPr>
          <w:rFonts w:eastAsia="仿宋"/>
          <w:sz w:val="32"/>
          <w:szCs w:val="32"/>
        </w:rPr>
        <w:t>】</w:t>
      </w:r>
    </w:p>
    <w:p>
      <w:pPr>
        <w:widowControl w:val="0"/>
        <w:wordWrap/>
        <w:adjustRightInd/>
        <w:snapToGrid/>
        <w:spacing w:line="240" w:lineRule="auto"/>
        <w:ind w:left="0" w:leftChars="0" w:right="0"/>
        <w:jc w:val="center"/>
        <w:textAlignment w:val="auto"/>
        <w:outlineLvl w:val="9"/>
        <w:rPr>
          <w:rFonts w:eastAsia="仿宋"/>
          <w:sz w:val="32"/>
          <w:szCs w:val="32"/>
        </w:rPr>
      </w:pPr>
      <w:r>
        <w:rPr>
          <w:rFonts w:eastAsia="仿宋"/>
          <w:sz w:val="32"/>
          <w:szCs w:val="32"/>
        </w:rPr>
        <w:t xml:space="preserve">                                        【</w:t>
      </w:r>
      <w:r>
        <w:rPr>
          <w:rFonts w:ascii="黑体" w:hAnsi="黑体" w:eastAsia="黑体"/>
          <w:sz w:val="32"/>
          <w:szCs w:val="32"/>
        </w:rPr>
        <w:t>同意公开</w:t>
      </w:r>
      <w:r>
        <w:rPr>
          <w:rFonts w:eastAsia="仿宋"/>
          <w:sz w:val="32"/>
          <w:szCs w:val="32"/>
        </w:rPr>
        <w:t>】</w:t>
      </w:r>
    </w:p>
    <w:p>
      <w:pPr>
        <w:widowControl w:val="0"/>
        <w:wordWrap/>
        <w:adjustRightInd/>
        <w:snapToGrid/>
        <w:spacing w:line="240" w:lineRule="auto"/>
        <w:ind w:left="0" w:leftChars="0" w:right="0" w:firstLine="643" w:firstLineChars="200"/>
        <w:jc w:val="center"/>
        <w:textAlignment w:val="auto"/>
        <w:outlineLvl w:val="9"/>
        <w:rPr>
          <w:rFonts w:hint="eastAsia" w:ascii="黑体" w:hAnsi="黑体" w:eastAsia="黑体" w:cs="黑体"/>
          <w:b w:val="0"/>
          <w:bCs/>
          <w:sz w:val="36"/>
          <w:szCs w:val="36"/>
          <w:lang w:val="en-US" w:eastAsia="zh-CN"/>
        </w:rPr>
      </w:pPr>
    </w:p>
    <w:p>
      <w:pPr>
        <w:widowControl w:val="0"/>
        <w:wordWrap/>
        <w:adjustRightInd/>
        <w:snapToGrid/>
        <w:spacing w:line="240" w:lineRule="auto"/>
        <w:ind w:left="0" w:leftChars="0" w:right="0" w:firstLine="643" w:firstLineChars="200"/>
        <w:jc w:val="center"/>
        <w:textAlignment w:val="auto"/>
        <w:outlineLvl w:val="9"/>
        <w:rPr>
          <w:rFonts w:hint="eastAsia" w:ascii="黑体" w:hAnsi="黑体" w:eastAsia="黑体" w:cs="黑体"/>
          <w:b w:val="0"/>
          <w:bCs/>
          <w:sz w:val="36"/>
          <w:szCs w:val="36"/>
          <w:lang w:val="en-US" w:eastAsia="zh-CN"/>
        </w:rPr>
      </w:pPr>
    </w:p>
    <w:p>
      <w:pPr>
        <w:widowControl w:val="0"/>
        <w:wordWrap/>
        <w:adjustRightInd/>
        <w:snapToGrid/>
        <w:spacing w:line="240" w:lineRule="auto"/>
        <w:ind w:left="0" w:leftChars="0" w:right="0" w:firstLine="643" w:firstLineChars="200"/>
        <w:jc w:val="center"/>
        <w:textAlignment w:val="auto"/>
        <w:outlineLvl w:val="9"/>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对省政协十二届一次会议</w:t>
      </w:r>
    </w:p>
    <w:p>
      <w:pPr>
        <w:widowControl w:val="0"/>
        <w:wordWrap/>
        <w:adjustRightInd/>
        <w:snapToGrid/>
        <w:spacing w:line="240" w:lineRule="auto"/>
        <w:ind w:left="0" w:leftChars="0" w:right="0" w:firstLine="643" w:firstLineChars="200"/>
        <w:jc w:val="center"/>
        <w:textAlignment w:val="auto"/>
        <w:outlineLvl w:val="9"/>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第60号省党派团体提案的答复</w:t>
      </w:r>
    </w:p>
    <w:p>
      <w:pPr>
        <w:widowControl w:val="0"/>
        <w:wordWrap/>
        <w:adjustRightInd/>
        <w:snapToGrid/>
        <w:spacing w:line="240" w:lineRule="auto"/>
        <w:ind w:left="0" w:leftChars="0" w:right="0" w:firstLine="643" w:firstLineChars="200"/>
        <w:textAlignment w:val="auto"/>
        <w:outlineLvl w:val="9"/>
        <w:rPr>
          <w:rFonts w:hint="eastAsia" w:ascii="黑体" w:hAnsi="黑体" w:eastAsia="黑体" w:cs="黑体"/>
          <w:b/>
          <w:sz w:val="36"/>
          <w:szCs w:val="36"/>
          <w:lang w:val="en-US" w:eastAsia="zh-CN"/>
        </w:rPr>
      </w:pPr>
    </w:p>
    <w:p>
      <w:pPr>
        <w:widowControl w:val="0"/>
        <w:wordWrap/>
        <w:adjustRightInd/>
        <w:snapToGrid/>
        <w:spacing w:line="240" w:lineRule="auto"/>
        <w:ind w:left="0" w:leftChars="0" w:right="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省民建：</w:t>
      </w:r>
    </w:p>
    <w:p>
      <w:pPr>
        <w:widowControl w:val="0"/>
        <w:wordWrap/>
        <w:adjustRightInd/>
        <w:snapToGrid/>
        <w:spacing w:line="240" w:lineRule="auto"/>
        <w:ind w:left="0" w:leftChars="0" w:right="0" w:firstLine="643"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贵委在省政协十二届一次会议上提出的《关于尽快在吉林省建设国家级东北区域作物种质资源库的建议》收悉，经认真研究办理，现答复如下：</w:t>
      </w:r>
    </w:p>
    <w:p>
      <w:pPr>
        <w:widowControl w:val="0"/>
        <w:wordWrap/>
        <w:adjustRightInd/>
        <w:snapToGrid/>
        <w:spacing w:line="240" w:lineRule="auto"/>
        <w:ind w:left="0" w:leftChars="0" w:right="0" w:firstLine="643"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作物种质资源是保证生态环境可持续发展和利用的基础，也是关系国家粮食安全的战略性产业。省民建委员会关于尽快在吉林省建设国家级东北区域作物种质资源库的建议的提案，是从战略性的高度，关注吉林省农业等相关行业的发展，并以此来促进作物种质资源的保护和有效利用，对此提案，省科技厅将给予高度关注和支持。</w:t>
      </w:r>
    </w:p>
    <w:p>
      <w:pPr>
        <w:widowControl w:val="0"/>
        <w:numPr>
          <w:ilvl w:val="0"/>
          <w:numId w:val="1"/>
        </w:numPr>
        <w:wordWrap/>
        <w:adjustRightInd/>
        <w:snapToGrid/>
        <w:spacing w:line="240" w:lineRule="auto"/>
        <w:ind w:left="0" w:leftChars="0" w:right="0" w:firstLine="643" w:firstLineChars="20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科技支持作物种质创制和新品种选育情况</w:t>
      </w:r>
    </w:p>
    <w:p>
      <w:pPr>
        <w:widowControl w:val="0"/>
        <w:numPr>
          <w:numId w:val="0"/>
        </w:numPr>
        <w:wordWrap/>
        <w:adjustRightInd/>
        <w:snapToGrid/>
        <w:spacing w:line="240" w:lineRule="auto"/>
        <w:ind w:left="0" w:leftChars="0" w:right="0"/>
        <w:textAlignment w:val="auto"/>
        <w:outlineLvl w:val="9"/>
        <w:rPr>
          <w:rFonts w:hint="eastAsia" w:ascii="仿宋" w:hAnsi="仿宋" w:eastAsia="仿宋" w:cs="仿宋"/>
          <w:b w:val="0"/>
          <w:bCs/>
          <w:sz w:val="32"/>
          <w:szCs w:val="32"/>
        </w:rPr>
      </w:pPr>
      <w:r>
        <w:rPr>
          <w:rFonts w:hint="eastAsia" w:ascii="仿宋" w:hAnsi="仿宋" w:eastAsia="仿宋" w:cs="仿宋"/>
          <w:b/>
          <w:bCs w:val="0"/>
          <w:sz w:val="32"/>
          <w:szCs w:val="32"/>
          <w:lang w:val="en-US" w:eastAsia="zh-CN"/>
        </w:rPr>
        <w:t xml:space="preserve">  </w:t>
      </w:r>
      <w:r>
        <w:rPr>
          <w:rFonts w:hint="eastAsia" w:ascii="仿宋" w:hAnsi="仿宋" w:eastAsia="仿宋" w:cs="仿宋"/>
          <w:b w:val="0"/>
          <w:bCs/>
          <w:sz w:val="32"/>
          <w:szCs w:val="32"/>
          <w:lang w:val="en-US" w:eastAsia="zh-CN"/>
        </w:rPr>
        <w:t xml:space="preserve">  多年以来，省科技厅对作物种质资源创新利用的科研工作十分重视。每年，省科技科技发展计划项目指南都把作物种质资源创制和新品种选育作为重要内容向全省发布。在设计重大科技项目时都给予优先考虑，在经费投入上也是最多的。从“十二五”至现在，</w:t>
      </w:r>
      <w:r>
        <w:rPr>
          <w:rFonts w:hint="eastAsia" w:ascii="仿宋" w:hAnsi="仿宋" w:eastAsia="仿宋" w:cs="仿宋"/>
          <w:sz w:val="32"/>
          <w:szCs w:val="32"/>
          <w:lang w:eastAsia="zh-CN"/>
        </w:rPr>
        <w:t>省科技厅</w:t>
      </w:r>
      <w:r>
        <w:rPr>
          <w:rFonts w:hint="eastAsia" w:ascii="仿宋" w:hAnsi="仿宋" w:eastAsia="仿宋" w:cs="仿宋"/>
          <w:b w:val="0"/>
          <w:bCs/>
          <w:sz w:val="32"/>
          <w:szCs w:val="32"/>
          <w:lang w:val="en-US" w:eastAsia="zh-CN"/>
        </w:rPr>
        <w:t>分别在省科技计划重点科技攻关、重大科技攻关专项、产业技术创新战略联盟、“双十工程”重大科技攻关和转化等4个方面，围绕作物</w:t>
      </w:r>
      <w:r>
        <w:rPr>
          <w:rFonts w:hint="eastAsia" w:ascii="仿宋" w:hAnsi="仿宋" w:eastAsia="仿宋" w:cs="仿宋"/>
          <w:b w:val="0"/>
          <w:bCs/>
          <w:sz w:val="32"/>
          <w:szCs w:val="32"/>
        </w:rPr>
        <w:t>种质资源</w:t>
      </w:r>
      <w:r>
        <w:rPr>
          <w:rFonts w:hint="eastAsia" w:ascii="仿宋" w:hAnsi="仿宋" w:eastAsia="仿宋" w:cs="仿宋"/>
          <w:b w:val="0"/>
          <w:bCs/>
          <w:sz w:val="32"/>
          <w:szCs w:val="32"/>
          <w:lang w:eastAsia="zh-CN"/>
        </w:rPr>
        <w:t>创新和利用</w:t>
      </w:r>
      <w:r>
        <w:rPr>
          <w:rFonts w:hint="eastAsia" w:ascii="仿宋" w:hAnsi="仿宋" w:eastAsia="仿宋" w:cs="仿宋"/>
          <w:b w:val="0"/>
          <w:bCs/>
          <w:sz w:val="32"/>
          <w:szCs w:val="32"/>
          <w:lang w:val="en-US" w:eastAsia="zh-CN"/>
        </w:rPr>
        <w:t>，共支持科研项目85项，投入经费4566万元。</w:t>
      </w:r>
    </w:p>
    <w:p>
      <w:pPr>
        <w:widowControl w:val="0"/>
        <w:wordWrap/>
        <w:adjustRightInd/>
        <w:snapToGrid/>
        <w:spacing w:line="240" w:lineRule="auto"/>
        <w:ind w:left="0" w:leftChars="0" w:right="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取得的成效</w:t>
      </w:r>
    </w:p>
    <w:p>
      <w:pPr>
        <w:widowControl w:val="0"/>
        <w:wordWrap/>
        <w:adjustRightInd/>
        <w:snapToGrid/>
        <w:spacing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lang w:val="en-US" w:eastAsia="zh-CN"/>
        </w:rPr>
        <w:t>搭建了</w:t>
      </w:r>
      <w:r>
        <w:rPr>
          <w:rFonts w:hint="eastAsia" w:ascii="仿宋" w:hAnsi="仿宋" w:eastAsia="仿宋" w:cs="仿宋"/>
          <w:b w:val="0"/>
          <w:bCs/>
          <w:sz w:val="32"/>
          <w:szCs w:val="32"/>
        </w:rPr>
        <w:t>种质资源保存与创新平台</w:t>
      </w:r>
      <w:r>
        <w:rPr>
          <w:rFonts w:hint="eastAsia" w:ascii="仿宋" w:hAnsi="仿宋" w:eastAsia="仿宋" w:cs="仿宋"/>
          <w:b w:val="0"/>
          <w:bCs/>
          <w:sz w:val="32"/>
          <w:szCs w:val="32"/>
          <w:lang w:eastAsia="zh-CN"/>
        </w:rPr>
        <w:t>。</w:t>
      </w:r>
      <w:r>
        <w:rPr>
          <w:rFonts w:hint="eastAsia" w:ascii="仿宋" w:hAnsi="仿宋" w:eastAsia="仿宋" w:cs="仿宋"/>
          <w:sz w:val="32"/>
          <w:szCs w:val="32"/>
        </w:rPr>
        <w:t>2009年</w:t>
      </w:r>
      <w:r>
        <w:rPr>
          <w:rFonts w:hint="eastAsia" w:ascii="仿宋" w:hAnsi="仿宋" w:eastAsia="仿宋" w:cs="仿宋"/>
          <w:sz w:val="32"/>
          <w:szCs w:val="32"/>
          <w:lang w:eastAsia="zh-CN"/>
        </w:rPr>
        <w:t>，</w:t>
      </w:r>
      <w:r>
        <w:rPr>
          <w:rFonts w:hint="eastAsia" w:ascii="仿宋" w:hAnsi="仿宋" w:eastAsia="仿宋" w:cs="仿宋"/>
          <w:sz w:val="32"/>
          <w:szCs w:val="32"/>
        </w:rPr>
        <w:t>省科技厅</w:t>
      </w:r>
      <w:r>
        <w:rPr>
          <w:rFonts w:hint="eastAsia" w:ascii="仿宋" w:hAnsi="仿宋" w:eastAsia="仿宋" w:cs="仿宋"/>
          <w:sz w:val="32"/>
          <w:szCs w:val="32"/>
          <w:lang w:eastAsia="zh-CN"/>
        </w:rPr>
        <w:t>为</w:t>
      </w:r>
      <w:r>
        <w:rPr>
          <w:rFonts w:hint="eastAsia" w:ascii="仿宋" w:hAnsi="仿宋" w:eastAsia="仿宋" w:cs="仿宋"/>
          <w:sz w:val="32"/>
          <w:szCs w:val="32"/>
        </w:rPr>
        <w:t>省农科院“吉林省主要农作物常规与生物技术育种研发公共服务平台”立项，支持经费300万元</w:t>
      </w:r>
      <w:r>
        <w:rPr>
          <w:rFonts w:hint="eastAsia" w:ascii="仿宋" w:hAnsi="仿宋" w:eastAsia="仿宋" w:cs="仿宋"/>
          <w:sz w:val="32"/>
          <w:szCs w:val="32"/>
          <w:lang w:eastAsia="zh-CN"/>
        </w:rPr>
        <w:t>。</w:t>
      </w:r>
      <w:r>
        <w:rPr>
          <w:rFonts w:hint="eastAsia" w:ascii="仿宋" w:hAnsi="仿宋" w:eastAsia="仿宋" w:cs="仿宋"/>
          <w:sz w:val="32"/>
          <w:szCs w:val="32"/>
        </w:rPr>
        <w:t>在此基础上，多次得到了国家和省里的支持</w:t>
      </w:r>
      <w:r>
        <w:rPr>
          <w:rFonts w:hint="eastAsia" w:ascii="仿宋" w:hAnsi="仿宋" w:eastAsia="仿宋" w:cs="仿宋"/>
          <w:sz w:val="32"/>
          <w:szCs w:val="32"/>
          <w:lang w:eastAsia="zh-CN"/>
        </w:rPr>
        <w:t>。</w:t>
      </w:r>
      <w:r>
        <w:rPr>
          <w:rFonts w:hint="eastAsia" w:ascii="仿宋" w:hAnsi="仿宋" w:eastAsia="仿宋" w:cs="仿宋"/>
          <w:sz w:val="32"/>
          <w:szCs w:val="32"/>
        </w:rPr>
        <w:t>2011年</w:t>
      </w:r>
      <w:r>
        <w:rPr>
          <w:rFonts w:hint="eastAsia" w:ascii="仿宋" w:hAnsi="仿宋" w:eastAsia="仿宋" w:cs="仿宋"/>
          <w:sz w:val="32"/>
          <w:szCs w:val="32"/>
          <w:lang w:eastAsia="zh-CN"/>
        </w:rPr>
        <w:t>，经国家</w:t>
      </w:r>
      <w:r>
        <w:rPr>
          <w:rFonts w:hint="eastAsia" w:ascii="仿宋" w:hAnsi="仿宋" w:eastAsia="仿宋" w:cs="仿宋"/>
          <w:sz w:val="32"/>
          <w:szCs w:val="32"/>
        </w:rPr>
        <w:t>农业部批准</w:t>
      </w:r>
      <w:r>
        <w:rPr>
          <w:rFonts w:hint="eastAsia" w:ascii="仿宋" w:hAnsi="仿宋" w:eastAsia="仿宋" w:cs="仿宋"/>
          <w:sz w:val="32"/>
          <w:szCs w:val="32"/>
          <w:lang w:eastAsia="zh-CN"/>
        </w:rPr>
        <w:t>，省农科院获得了</w:t>
      </w:r>
      <w:r>
        <w:rPr>
          <w:rFonts w:hint="eastAsia" w:ascii="仿宋" w:hAnsi="仿宋" w:eastAsia="仿宋" w:cs="仿宋"/>
          <w:sz w:val="32"/>
          <w:szCs w:val="32"/>
        </w:rPr>
        <w:t>“农业部东北作物基因资源与种质创制重点实验室”</w:t>
      </w:r>
      <w:r>
        <w:rPr>
          <w:rFonts w:hint="eastAsia" w:ascii="仿宋" w:hAnsi="仿宋" w:eastAsia="仿宋" w:cs="仿宋"/>
          <w:sz w:val="32"/>
          <w:szCs w:val="32"/>
          <w:lang w:eastAsia="zh-CN"/>
        </w:rPr>
        <w:t>的</w:t>
      </w:r>
      <w:r>
        <w:rPr>
          <w:rFonts w:hint="eastAsia" w:ascii="仿宋" w:hAnsi="仿宋" w:eastAsia="仿宋" w:cs="仿宋"/>
          <w:sz w:val="32"/>
          <w:szCs w:val="32"/>
        </w:rPr>
        <w:t>建设</w:t>
      </w:r>
      <w:r>
        <w:rPr>
          <w:rFonts w:hint="eastAsia" w:ascii="仿宋" w:hAnsi="仿宋" w:eastAsia="仿宋" w:cs="仿宋"/>
          <w:sz w:val="32"/>
          <w:szCs w:val="32"/>
          <w:lang w:eastAsia="zh-CN"/>
        </w:rPr>
        <w:t>任务</w:t>
      </w:r>
      <w:r>
        <w:rPr>
          <w:rFonts w:hint="eastAsia" w:ascii="仿宋" w:hAnsi="仿宋" w:eastAsia="仿宋" w:cs="仿宋"/>
          <w:sz w:val="32"/>
          <w:szCs w:val="32"/>
        </w:rPr>
        <w:t>，并于2013年</w:t>
      </w:r>
      <w:r>
        <w:rPr>
          <w:rFonts w:hint="eastAsia" w:ascii="仿宋" w:hAnsi="仿宋" w:eastAsia="仿宋" w:cs="仿宋"/>
          <w:sz w:val="32"/>
          <w:szCs w:val="32"/>
          <w:lang w:eastAsia="zh-CN"/>
        </w:rPr>
        <w:t>获</w:t>
      </w:r>
      <w:r>
        <w:rPr>
          <w:rFonts w:hint="eastAsia" w:ascii="仿宋" w:hAnsi="仿宋" w:eastAsia="仿宋" w:cs="仿宋"/>
          <w:sz w:val="32"/>
          <w:szCs w:val="32"/>
        </w:rPr>
        <w:t>建设经费605万元；2015年</w:t>
      </w:r>
      <w:r>
        <w:rPr>
          <w:rFonts w:hint="eastAsia" w:ascii="仿宋" w:hAnsi="仿宋" w:eastAsia="仿宋" w:cs="仿宋"/>
          <w:sz w:val="32"/>
          <w:szCs w:val="32"/>
          <w:lang w:eastAsia="zh-CN"/>
        </w:rPr>
        <w:t>，我省的</w:t>
      </w:r>
      <w:r>
        <w:rPr>
          <w:rFonts w:hint="eastAsia" w:ascii="仿宋" w:hAnsi="仿宋" w:eastAsia="仿宋" w:cs="仿宋"/>
          <w:sz w:val="32"/>
          <w:szCs w:val="32"/>
        </w:rPr>
        <w:t>“东北区农作物种质资源繁殖更新基地”项目</w:t>
      </w:r>
      <w:r>
        <w:rPr>
          <w:rFonts w:hint="eastAsia" w:ascii="仿宋" w:hAnsi="仿宋" w:eastAsia="仿宋" w:cs="仿宋"/>
          <w:sz w:val="32"/>
          <w:szCs w:val="32"/>
          <w:lang w:eastAsia="zh-CN"/>
        </w:rPr>
        <w:t>被国家</w:t>
      </w:r>
      <w:r>
        <w:rPr>
          <w:rFonts w:hint="eastAsia" w:ascii="仿宋" w:hAnsi="仿宋" w:eastAsia="仿宋" w:cs="仿宋"/>
          <w:sz w:val="32"/>
          <w:szCs w:val="32"/>
        </w:rPr>
        <w:t>农业部批准立项，</w:t>
      </w:r>
      <w:r>
        <w:rPr>
          <w:rFonts w:hint="eastAsia" w:ascii="仿宋" w:hAnsi="仿宋" w:eastAsia="仿宋" w:cs="仿宋"/>
          <w:sz w:val="32"/>
          <w:szCs w:val="32"/>
          <w:lang w:eastAsia="zh-CN"/>
        </w:rPr>
        <w:t>获</w:t>
      </w:r>
      <w:r>
        <w:rPr>
          <w:rFonts w:hint="eastAsia" w:ascii="仿宋" w:hAnsi="仿宋" w:eastAsia="仿宋" w:cs="仿宋"/>
          <w:sz w:val="32"/>
          <w:szCs w:val="32"/>
        </w:rPr>
        <w:t>建设经费500万元；</w:t>
      </w:r>
      <w:r>
        <w:rPr>
          <w:rFonts w:hint="eastAsia" w:ascii="仿宋" w:hAnsi="仿宋" w:eastAsia="仿宋" w:cs="仿宋"/>
          <w:sz w:val="32"/>
          <w:szCs w:val="32"/>
          <w:lang w:eastAsia="zh-CN"/>
        </w:rPr>
        <w:t>从</w:t>
      </w:r>
      <w:r>
        <w:rPr>
          <w:rFonts w:hint="eastAsia" w:ascii="仿宋" w:hAnsi="仿宋" w:eastAsia="仿宋" w:cs="仿宋"/>
          <w:sz w:val="32"/>
          <w:szCs w:val="32"/>
        </w:rPr>
        <w:t>2015年起，每年</w:t>
      </w:r>
      <w:r>
        <w:rPr>
          <w:rFonts w:hint="eastAsia" w:ascii="仿宋" w:hAnsi="仿宋" w:eastAsia="仿宋" w:cs="仿宋"/>
          <w:sz w:val="32"/>
          <w:szCs w:val="32"/>
          <w:lang w:eastAsia="zh-CN"/>
        </w:rPr>
        <w:t>均获得</w:t>
      </w:r>
      <w:r>
        <w:rPr>
          <w:rFonts w:hint="eastAsia" w:ascii="仿宋" w:hAnsi="仿宋" w:eastAsia="仿宋" w:cs="仿宋"/>
          <w:sz w:val="32"/>
          <w:szCs w:val="32"/>
        </w:rPr>
        <w:t>省财政30万元运转费用</w:t>
      </w:r>
      <w:r>
        <w:rPr>
          <w:rFonts w:hint="eastAsia" w:ascii="仿宋" w:hAnsi="仿宋" w:eastAsia="仿宋" w:cs="仿宋"/>
          <w:sz w:val="32"/>
          <w:szCs w:val="32"/>
          <w:lang w:eastAsia="zh-CN"/>
        </w:rPr>
        <w:t>的支持</w:t>
      </w:r>
      <w:r>
        <w:rPr>
          <w:rFonts w:hint="eastAsia" w:ascii="仿宋" w:hAnsi="仿宋" w:eastAsia="仿宋" w:cs="仿宋"/>
          <w:sz w:val="32"/>
          <w:szCs w:val="32"/>
        </w:rPr>
        <w:t>。</w:t>
      </w:r>
    </w:p>
    <w:p>
      <w:pPr>
        <w:widowControl w:val="0"/>
        <w:wordWrap/>
        <w:adjustRightInd/>
        <w:snapToGrid/>
        <w:spacing w:line="240" w:lineRule="auto"/>
        <w:ind w:left="0" w:leftChars="0" w:right="0" w:firstLine="56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目前</w:t>
      </w:r>
      <w:r>
        <w:rPr>
          <w:rFonts w:hint="eastAsia" w:ascii="仿宋" w:hAnsi="仿宋" w:eastAsia="仿宋" w:cs="仿宋"/>
          <w:sz w:val="32"/>
          <w:szCs w:val="32"/>
          <w:lang w:eastAsia="zh-CN"/>
        </w:rPr>
        <w:t>，该</w:t>
      </w:r>
      <w:r>
        <w:rPr>
          <w:rFonts w:hint="eastAsia" w:ascii="仿宋" w:hAnsi="仿宋" w:eastAsia="仿宋" w:cs="仿宋"/>
          <w:sz w:val="32"/>
          <w:szCs w:val="32"/>
        </w:rPr>
        <w:t>平台具备保存20万份种质资源的能力，可年繁殖更新资源5000份、鉴定评价资源2000份，能够同时容纳10-15个学科方向或课题组同步开展研究</w:t>
      </w:r>
      <w:r>
        <w:rPr>
          <w:rFonts w:hint="eastAsia" w:ascii="仿宋" w:hAnsi="仿宋" w:eastAsia="仿宋" w:cs="仿宋"/>
          <w:sz w:val="32"/>
          <w:szCs w:val="32"/>
          <w:lang w:eastAsia="zh-CN"/>
        </w:rPr>
        <w:t>。种质</w:t>
      </w:r>
      <w:r>
        <w:rPr>
          <w:rFonts w:hint="eastAsia" w:ascii="仿宋" w:hAnsi="仿宋" w:eastAsia="仿宋" w:cs="仿宋"/>
          <w:sz w:val="32"/>
          <w:szCs w:val="32"/>
        </w:rPr>
        <w:t>资源田间鉴定</w:t>
      </w:r>
      <w:r>
        <w:rPr>
          <w:rFonts w:hint="eastAsia" w:ascii="仿宋" w:hAnsi="仿宋" w:eastAsia="仿宋" w:cs="仿宋"/>
          <w:sz w:val="32"/>
          <w:szCs w:val="32"/>
          <w:lang w:eastAsia="zh-CN"/>
        </w:rPr>
        <w:t>所需的</w:t>
      </w:r>
      <w:r>
        <w:rPr>
          <w:rFonts w:hint="eastAsia" w:ascii="仿宋" w:hAnsi="仿宋" w:eastAsia="仿宋" w:cs="仿宋"/>
          <w:sz w:val="32"/>
          <w:szCs w:val="32"/>
        </w:rPr>
        <w:t>各类数据采集</w:t>
      </w:r>
      <w:r>
        <w:rPr>
          <w:rFonts w:hint="eastAsia" w:ascii="仿宋" w:hAnsi="仿宋" w:eastAsia="仿宋" w:cs="仿宋"/>
          <w:sz w:val="32"/>
          <w:szCs w:val="32"/>
          <w:lang w:eastAsia="zh-CN"/>
        </w:rPr>
        <w:t>，</w:t>
      </w:r>
      <w:r>
        <w:rPr>
          <w:rFonts w:hint="eastAsia" w:ascii="仿宋" w:hAnsi="仿宋" w:eastAsia="仿宋" w:cs="仿宋"/>
          <w:sz w:val="32"/>
          <w:szCs w:val="32"/>
        </w:rPr>
        <w:t>完全实现</w:t>
      </w:r>
      <w:r>
        <w:rPr>
          <w:rFonts w:hint="eastAsia" w:ascii="仿宋" w:hAnsi="仿宋" w:eastAsia="仿宋" w:cs="仿宋"/>
          <w:sz w:val="32"/>
          <w:szCs w:val="32"/>
          <w:lang w:eastAsia="zh-CN"/>
        </w:rPr>
        <w:t>了</w:t>
      </w:r>
      <w:r>
        <w:rPr>
          <w:rFonts w:hint="eastAsia" w:ascii="仿宋" w:hAnsi="仿宋" w:eastAsia="仿宋" w:cs="仿宋"/>
          <w:sz w:val="32"/>
          <w:szCs w:val="32"/>
        </w:rPr>
        <w:t>数据化管理</w:t>
      </w:r>
      <w:r>
        <w:rPr>
          <w:rFonts w:hint="eastAsia" w:ascii="仿宋" w:hAnsi="仿宋" w:eastAsia="仿宋" w:cs="仿宋"/>
          <w:sz w:val="32"/>
          <w:szCs w:val="32"/>
          <w:lang w:eastAsia="zh-CN"/>
        </w:rPr>
        <w:t>。</w:t>
      </w:r>
      <w:r>
        <w:rPr>
          <w:rFonts w:hint="eastAsia" w:ascii="仿宋" w:hAnsi="仿宋" w:eastAsia="仿宋" w:cs="仿宋"/>
          <w:sz w:val="32"/>
          <w:szCs w:val="32"/>
        </w:rPr>
        <w:t>截至2018年，</w:t>
      </w:r>
      <w:r>
        <w:rPr>
          <w:rFonts w:hint="eastAsia" w:ascii="仿宋" w:hAnsi="仿宋" w:eastAsia="仿宋" w:cs="仿宋"/>
          <w:sz w:val="32"/>
          <w:szCs w:val="32"/>
          <w:lang w:eastAsia="zh-CN"/>
        </w:rPr>
        <w:t>种质</w:t>
      </w:r>
      <w:r>
        <w:rPr>
          <w:rFonts w:hint="eastAsia" w:ascii="仿宋" w:hAnsi="仿宋" w:eastAsia="仿宋" w:cs="仿宋"/>
          <w:sz w:val="32"/>
          <w:szCs w:val="32"/>
        </w:rPr>
        <w:t>资源平台共保存资源25625份。</w:t>
      </w:r>
    </w:p>
    <w:p>
      <w:pPr>
        <w:widowControl w:val="0"/>
        <w:wordWrap/>
        <w:adjustRightInd/>
        <w:snapToGrid/>
        <w:spacing w:line="240" w:lineRule="auto"/>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目前，省农科</w:t>
      </w:r>
      <w:r>
        <w:rPr>
          <w:rFonts w:hint="eastAsia" w:ascii="仿宋" w:hAnsi="仿宋" w:eastAsia="仿宋" w:cs="仿宋"/>
          <w:sz w:val="32"/>
          <w:szCs w:val="32"/>
        </w:rPr>
        <w:t>院</w:t>
      </w:r>
      <w:r>
        <w:rPr>
          <w:rFonts w:hint="eastAsia" w:ascii="仿宋" w:hAnsi="仿宋" w:eastAsia="仿宋" w:cs="仿宋"/>
          <w:sz w:val="32"/>
          <w:szCs w:val="32"/>
          <w:lang w:eastAsia="zh-CN"/>
        </w:rPr>
        <w:t>种质</w:t>
      </w:r>
      <w:r>
        <w:rPr>
          <w:rFonts w:hint="eastAsia" w:ascii="仿宋" w:hAnsi="仿宋" w:eastAsia="仿宋" w:cs="仿宋"/>
          <w:sz w:val="32"/>
          <w:szCs w:val="32"/>
        </w:rPr>
        <w:t>资源平台在国家层面已</w:t>
      </w:r>
      <w:r>
        <w:rPr>
          <w:rFonts w:hint="eastAsia" w:ascii="仿宋" w:hAnsi="仿宋" w:eastAsia="仿宋" w:cs="仿宋"/>
          <w:sz w:val="32"/>
          <w:szCs w:val="32"/>
          <w:lang w:eastAsia="zh-CN"/>
        </w:rPr>
        <w:t>处于</w:t>
      </w:r>
      <w:r>
        <w:rPr>
          <w:rFonts w:hint="eastAsia" w:ascii="仿宋" w:hAnsi="仿宋" w:eastAsia="仿宋" w:cs="仿宋"/>
          <w:sz w:val="32"/>
          <w:szCs w:val="32"/>
        </w:rPr>
        <w:t>东北地区的中心地位，与国家种质资源库建立了</w:t>
      </w:r>
      <w:r>
        <w:rPr>
          <w:rFonts w:hint="eastAsia" w:ascii="仿宋" w:hAnsi="仿宋" w:eastAsia="仿宋" w:cs="仿宋"/>
          <w:sz w:val="32"/>
          <w:szCs w:val="32"/>
          <w:lang w:eastAsia="zh-CN"/>
        </w:rPr>
        <w:t>密切往来</w:t>
      </w:r>
      <w:r>
        <w:rPr>
          <w:rFonts w:hint="eastAsia" w:ascii="仿宋" w:hAnsi="仿宋" w:eastAsia="仿宋" w:cs="仿宋"/>
          <w:sz w:val="32"/>
          <w:szCs w:val="32"/>
        </w:rPr>
        <w:t>关系，已长期承接部分种质资源相关研究工作</w:t>
      </w:r>
      <w:r>
        <w:rPr>
          <w:rFonts w:hint="eastAsia" w:ascii="仿宋" w:hAnsi="仿宋" w:eastAsia="仿宋" w:cs="仿宋"/>
          <w:sz w:val="32"/>
          <w:szCs w:val="32"/>
          <w:lang w:eastAsia="zh-CN"/>
        </w:rPr>
        <w:t>。与此</w:t>
      </w:r>
      <w:r>
        <w:rPr>
          <w:rFonts w:hint="eastAsia" w:ascii="仿宋" w:hAnsi="仿宋" w:eastAsia="仿宋" w:cs="仿宋"/>
          <w:sz w:val="32"/>
          <w:szCs w:val="32"/>
        </w:rPr>
        <w:t>同时，以资源平台为基础条件，争取</w:t>
      </w:r>
      <w:r>
        <w:rPr>
          <w:rFonts w:hint="eastAsia" w:ascii="仿宋" w:hAnsi="仿宋" w:eastAsia="仿宋" w:cs="仿宋"/>
          <w:sz w:val="32"/>
          <w:szCs w:val="32"/>
          <w:lang w:eastAsia="zh-CN"/>
        </w:rPr>
        <w:t>到</w:t>
      </w:r>
      <w:r>
        <w:rPr>
          <w:rFonts w:hint="eastAsia" w:ascii="仿宋" w:hAnsi="仿宋" w:eastAsia="仿宋" w:cs="仿宋"/>
          <w:sz w:val="32"/>
          <w:szCs w:val="32"/>
        </w:rPr>
        <w:t>各级各类项目</w:t>
      </w:r>
      <w:r>
        <w:rPr>
          <w:rFonts w:hint="eastAsia" w:ascii="仿宋" w:hAnsi="仿宋" w:eastAsia="仿宋" w:cs="仿宋"/>
          <w:sz w:val="32"/>
          <w:szCs w:val="32"/>
          <w:lang w:eastAsia="zh-CN"/>
        </w:rPr>
        <w:t>支持</w:t>
      </w:r>
      <w:r>
        <w:rPr>
          <w:rFonts w:hint="eastAsia" w:ascii="仿宋" w:hAnsi="仿宋" w:eastAsia="仿宋" w:cs="仿宋"/>
          <w:sz w:val="32"/>
          <w:szCs w:val="32"/>
        </w:rPr>
        <w:t>近百项，已全面展开资源筛选、鉴定及创新工作，筛选鉴定获得的脱水快、耐盐碱、耐旱、耐低温、高抗等特异性资源</w:t>
      </w:r>
      <w:r>
        <w:rPr>
          <w:rFonts w:hint="eastAsia" w:ascii="仿宋" w:hAnsi="仿宋" w:eastAsia="仿宋" w:cs="仿宋"/>
          <w:sz w:val="32"/>
          <w:szCs w:val="32"/>
          <w:lang w:eastAsia="zh-CN"/>
        </w:rPr>
        <w:t>，</w:t>
      </w:r>
      <w:r>
        <w:rPr>
          <w:rFonts w:hint="eastAsia" w:ascii="仿宋" w:hAnsi="仿宋" w:eastAsia="仿宋" w:cs="仿宋"/>
          <w:sz w:val="32"/>
          <w:szCs w:val="32"/>
        </w:rPr>
        <w:t>为我</w:t>
      </w:r>
      <w:r>
        <w:rPr>
          <w:rFonts w:hint="eastAsia" w:ascii="仿宋" w:hAnsi="仿宋" w:eastAsia="仿宋" w:cs="仿宋"/>
          <w:sz w:val="32"/>
          <w:szCs w:val="32"/>
          <w:lang w:eastAsia="zh-CN"/>
        </w:rPr>
        <w:t>省</w:t>
      </w:r>
      <w:r>
        <w:rPr>
          <w:rFonts w:hint="eastAsia" w:ascii="仿宋" w:hAnsi="仿宋" w:eastAsia="仿宋" w:cs="仿宋"/>
          <w:sz w:val="32"/>
          <w:szCs w:val="32"/>
        </w:rPr>
        <w:t>众多优良品种的育成提供了强有力的支撑，并已实现了区域共享。</w:t>
      </w:r>
    </w:p>
    <w:p>
      <w:pPr>
        <w:widowControl w:val="0"/>
        <w:shd w:val="solid" w:color="FFFFFF" w:fill="auto"/>
        <w:wordWrap/>
        <w:autoSpaceDN w:val="0"/>
        <w:adjustRightInd/>
        <w:snapToGrid/>
        <w:spacing w:before="180" w:after="360" w:line="240" w:lineRule="auto"/>
        <w:ind w:left="0" w:leftChars="0" w:right="0" w:firstLine="0"/>
        <w:textAlignment w:val="auto"/>
        <w:outlineLvl w:val="9"/>
        <w:rPr>
          <w:rFonts w:hint="eastAsia" w:ascii="黑体" w:hAnsi="黑体" w:eastAsia="黑体" w:cs="黑体"/>
          <w:sz w:val="32"/>
          <w:szCs w:val="32"/>
          <w:lang w:eastAsia="zh-CN"/>
        </w:rPr>
      </w:pPr>
      <w:r>
        <w:rPr>
          <w:rFonts w:hint="eastAsia" w:ascii="黑体" w:hAnsi="黑体" w:eastAsia="黑体" w:cs="黑体"/>
          <w:b w:val="0"/>
          <w:i w:val="0"/>
          <w:color w:val="000000"/>
          <w:sz w:val="21"/>
          <w:shd w:val="clear" w:color="auto" w:fill="FFFFFF"/>
          <w:lang w:eastAsia="zh-CN"/>
        </w:rPr>
        <w:t xml:space="preserve"> </w:t>
      </w:r>
      <w:r>
        <w:rPr>
          <w:rFonts w:hint="eastAsia" w:ascii="黑体" w:hAnsi="黑体" w:eastAsia="黑体" w:cs="黑体"/>
          <w:b w:val="0"/>
          <w:i w:val="0"/>
          <w:color w:val="000000"/>
          <w:sz w:val="21"/>
          <w:shd w:val="clear" w:color="auto" w:fill="FFFFFF"/>
          <w:lang w:val="en-US" w:eastAsia="zh-CN"/>
        </w:rPr>
        <w:t xml:space="preserve">     </w:t>
      </w:r>
      <w:r>
        <w:rPr>
          <w:rFonts w:hint="eastAsia" w:ascii="黑体" w:hAnsi="黑体" w:eastAsia="黑体" w:cs="黑体"/>
          <w:b w:val="0"/>
          <w:i w:val="0"/>
          <w:color w:val="000000"/>
          <w:sz w:val="32"/>
          <w:szCs w:val="32"/>
          <w:shd w:val="clear" w:color="auto" w:fill="FFFFFF"/>
          <w:lang w:val="en-US" w:eastAsia="zh-CN"/>
        </w:rPr>
        <w:t>三、</w:t>
      </w:r>
      <w:r>
        <w:rPr>
          <w:rFonts w:hint="eastAsia" w:ascii="黑体" w:hAnsi="黑体" w:eastAsia="黑体" w:cs="黑体"/>
          <w:sz w:val="32"/>
          <w:szCs w:val="32"/>
          <w:lang w:eastAsia="zh-CN"/>
        </w:rPr>
        <w:t>对建立国家级东北区域农作物种质资源库的想法与措施</w:t>
      </w:r>
    </w:p>
    <w:p>
      <w:pPr>
        <w:widowControl w:val="0"/>
        <w:shd w:val="solid" w:color="FFFFFF" w:fill="auto"/>
        <w:wordWrap/>
        <w:autoSpaceDN w:val="0"/>
        <w:adjustRightInd/>
        <w:snapToGrid/>
        <w:spacing w:before="180" w:after="360" w:line="240" w:lineRule="auto"/>
        <w:ind w:left="0" w:leftChars="0" w:right="0" w:firstLine="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sz w:val="32"/>
          <w:szCs w:val="32"/>
          <w:lang w:val="en-US" w:eastAsia="zh-CN"/>
        </w:rPr>
        <w:t xml:space="preserve">    1、</w:t>
      </w:r>
      <w:r>
        <w:rPr>
          <w:rFonts w:hint="eastAsia" w:ascii="仿宋" w:hAnsi="仿宋" w:eastAsia="仿宋" w:cs="仿宋"/>
          <w:b w:val="0"/>
          <w:bCs/>
          <w:sz w:val="32"/>
          <w:szCs w:val="32"/>
          <w:lang w:val="en-US" w:eastAsia="zh-CN"/>
        </w:rPr>
        <w:t>开展专题调研。进一步掌握我省农作物种植资源的现状和存在的问题，深入了解省内科研机构、高等院校科研团队在该领域的工作状况，结合“十四五”农业农村科技规划的制定，以深入挖掘优质资源和培育新品种为核心，整合、调动省内科技资源，以科技计划为手段，突出重点，把作物种质资源逐步积累丰富，完成从量变到质变的突破。</w:t>
      </w:r>
    </w:p>
    <w:p>
      <w:pPr>
        <w:widowControl w:val="0"/>
        <w:numPr>
          <w:numId w:val="0"/>
        </w:numPr>
        <w:wordWrap/>
        <w:adjustRightInd/>
        <w:snapToGrid/>
        <w:spacing w:line="240" w:lineRule="auto"/>
        <w:ind w:left="0" w:leftChars="0" w:right="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2、本着重点支持与整体推进原则，强化高等院校、科研机构与企业在人才、技术和种质资源上的交流与合作，通过产学研联合攻关，形成合力，解决研发力量和资源分散问题，全方位推进资源整合和共享。  </w:t>
      </w:r>
    </w:p>
    <w:p>
      <w:pPr>
        <w:widowControl w:val="0"/>
        <w:numPr>
          <w:numId w:val="0"/>
        </w:numPr>
        <w:wordWrap/>
        <w:adjustRightInd/>
        <w:snapToGrid/>
        <w:spacing w:line="240" w:lineRule="auto"/>
        <w:ind w:left="0" w:leftChars="0" w:right="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3、明确责任，助推构建体系的建立。我们将对代表的建议给予重点关注，针对作物种质资源创制利用研究总体水平偏低问题，把项目方向把握好，把项目内容设计好，提高质量。对成熟的项目，在符合立项程序的前提下，给予立项支持。</w:t>
      </w:r>
    </w:p>
    <w:p>
      <w:pPr>
        <w:widowControl w:val="0"/>
        <w:numPr>
          <w:numId w:val="0"/>
        </w:numPr>
        <w:wordWrap/>
        <w:adjustRightInd/>
        <w:snapToGrid/>
        <w:spacing w:line="240" w:lineRule="auto"/>
        <w:ind w:left="0" w:leftChars="0" w:right="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4、积极协调，加大作物种植资源科技创新与利用科研经费的投入比例。</w:t>
      </w: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吉林省科学技术厅</w:t>
      </w: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2018年5月21日</w:t>
      </w: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联系人：刘国权</w:t>
      </w: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联系电话：0431-8895768  13844807659</w:t>
      </w: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p>
    <w:p>
      <w:pPr>
        <w:widowControl w:val="0"/>
        <w:numPr>
          <w:numId w:val="0"/>
        </w:numPr>
        <w:wordWrap/>
        <w:adjustRightInd/>
        <w:snapToGrid/>
        <w:spacing w:line="240" w:lineRule="auto"/>
        <w:ind w:left="0" w:leftChars="0" w:right="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widowControl w:val="0"/>
        <w:numPr>
          <w:numId w:val="0"/>
        </w:numPr>
        <w:wordWrap/>
        <w:adjustRightInd/>
        <w:snapToGrid/>
        <w:spacing w:line="240" w:lineRule="auto"/>
        <w:ind w:left="0" w:leftChars="0" w:right="0"/>
        <w:textAlignment w:val="auto"/>
        <w:outlineLvl w:val="9"/>
        <w:rPr>
          <w:rFonts w:hint="eastAsia" w:ascii="仿宋" w:hAnsi="仿宋" w:eastAsia="仿宋" w:cs="仿宋"/>
          <w:b w:val="0"/>
          <w:bCs/>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2FF" w:usb1="42002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6867948">
    <w:nsid w:val="5B0227EC"/>
    <w:multiLevelType w:val="singleLevel"/>
    <w:tmpl w:val="5B0227EC"/>
    <w:lvl w:ilvl="0" w:tentative="1">
      <w:start w:val="1"/>
      <w:numFmt w:val="chineseCounting"/>
      <w:suff w:val="nothing"/>
      <w:lvlText w:val="%1、"/>
      <w:lvlJc w:val="left"/>
    </w:lvl>
  </w:abstractNum>
  <w:num w:numId="1">
    <w:abstractNumId w:val="1526867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szCs w:val="18"/>
    </w:rPr>
  </w:style>
  <w:style w:type="character" w:styleId="4">
    <w:name w:val="page number"/>
    <w:basedOn w:val="3"/>
    <w:semiHidden/>
    <w:unhideWhenUsed/>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323</Words>
  <Characters>1843</Characters>
  <Lines>15</Lines>
  <Paragraphs>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2018-05-18T01:46:00Z</dcterms:created>
  <dc:creator>Windows 用户</dc:creator>
  <cp:lastModifiedBy>lenovo</cp:lastModifiedBy>
  <cp:lastPrinted>2018-05-23T07:30:00Z</cp:lastPrinted>
  <dcterms:modified xsi:type="dcterms:W3CDTF">2018-06-25T00:42:37Z</dcterms:modified>
  <dc:title>一、省科技厅支持种质资源相关研究情况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