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560" w:lineRule="exact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spacing w:line="560" w:lineRule="exact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吉社管函﹝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吉林</w:t>
      </w:r>
      <w:r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社会组织管理局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关于持续推进省本级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“僵尸型”社会组织整治工作的函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省本级社会组织业务主管单位（行业管理部门），省本级社会组织：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2021年，按照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国家和</w:t>
      </w:r>
      <w:r>
        <w:rPr>
          <w:rFonts w:ascii="仿宋_GB2312" w:hAnsi="仿宋_GB2312" w:eastAsia="仿宋_GB2312" w:cs="仿宋_GB2312"/>
          <w:sz w:val="32"/>
          <w:szCs w:val="32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ascii="仿宋_GB2312" w:hAnsi="仿宋_GB2312" w:eastAsia="仿宋_GB2312" w:cs="仿宋_GB2312"/>
          <w:sz w:val="32"/>
          <w:szCs w:val="32"/>
        </w:rPr>
        <w:t>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社会组织管理局</w:t>
      </w:r>
      <w:r>
        <w:rPr>
          <w:rFonts w:ascii="仿宋_GB2312" w:hAnsi="仿宋_GB2312" w:eastAsia="仿宋_GB2312" w:cs="仿宋_GB2312"/>
          <w:sz w:val="32"/>
          <w:szCs w:val="32"/>
        </w:rPr>
        <w:t>会同各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业务主管单位（行业管理部门）</w:t>
      </w:r>
      <w:r>
        <w:rPr>
          <w:rFonts w:ascii="仿宋_GB2312" w:hAnsi="仿宋_GB2312" w:eastAsia="仿宋_GB2312" w:cs="仿宋_GB2312"/>
          <w:sz w:val="32"/>
          <w:szCs w:val="32"/>
        </w:rPr>
        <w:t>扎实开展“僵</w:t>
      </w:r>
      <w:r>
        <w:rPr>
          <w:rFonts w:hint="eastAsia" w:ascii="仿宋_GB2312" w:hAnsi="仿宋_GB2312" w:eastAsia="仿宋_GB2312" w:cs="仿宋_GB2312"/>
          <w:sz w:val="32"/>
          <w:szCs w:val="32"/>
        </w:rPr>
        <w:t>尸型”社会组织专项整治行动，取得了显著成效。为进一步巩固和深化整治成果和工作成效，按照《民政部社会组织管理局关于持续推进“僵尸型”社会组织整治工作的通知》（民社管函〔</w:t>
      </w:r>
      <w:r>
        <w:rPr>
          <w:rFonts w:ascii="仿宋_GB2312" w:hAnsi="仿宋_GB2312" w:eastAsia="仿宋_GB2312" w:cs="仿宋_GB2312"/>
          <w:sz w:val="32"/>
          <w:szCs w:val="32"/>
        </w:rPr>
        <w:t>2022〕35号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）要求，现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</w:t>
      </w:r>
      <w:r>
        <w:rPr>
          <w:rFonts w:eastAsia="仿宋_GB2312"/>
          <w:sz w:val="32"/>
          <w:szCs w:val="32"/>
        </w:rPr>
        <w:t>进一步做好</w:t>
      </w:r>
      <w:r>
        <w:rPr>
          <w:rFonts w:hint="eastAsia" w:eastAsia="仿宋_GB2312"/>
          <w:sz w:val="32"/>
          <w:szCs w:val="32"/>
        </w:rPr>
        <w:t>省本级“僵尸型”社会组织整治工作安排如下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深入贯彻落实党的十九大和十九届历次全会精神，通过持续开展整治行动，进一步清除名存实亡的社会组织，整改内部混乱的社会组织，激活效能不高的社会组织，防范化解社会组织风险，促进社会组织高质量发展，为保持平稳健康的经济环境、国泰民安的社会环境、风清气正的政治环境贡献力量，以实际行动迎接党的二十大胜利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二、整治对象及</w:t>
      </w:r>
      <w:r>
        <w:rPr>
          <w:rFonts w:ascii="黑体" w:hAnsi="黑体" w:eastAsia="黑体" w:cs="黑体"/>
          <w:sz w:val="32"/>
          <w:szCs w:val="32"/>
        </w:rPr>
        <w:t>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本次整治对象为在省民政厅依法登记的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省本级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社会团体、基金会、民办非企业单位。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符合下列情形之一的省</w:t>
      </w:r>
      <w:r>
        <w:rPr>
          <w:rFonts w:ascii="仿宋_GB2312" w:hAnsi="仿宋_GB2312" w:eastAsia="仿宋_GB2312" w:cs="仿宋_GB2312"/>
          <w:sz w:val="32"/>
          <w:szCs w:val="32"/>
        </w:rPr>
        <w:t>本级社会组织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，省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社会组织管理局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在2021年未完成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整治名单的基础上，结合省本级社会组织年检和业务活动情况，确定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ascii="仿宋_GB2312" w:hAnsi="仿宋_GB2312" w:eastAsia="仿宋_GB2312" w:cs="仿宋_GB2312"/>
          <w:sz w:val="32"/>
          <w:szCs w:val="32"/>
        </w:rPr>
        <w:t>本级</w:t>
      </w:r>
      <w:r>
        <w:rPr>
          <w:rFonts w:hint="eastAsia" w:ascii="仿宋_GB2312" w:hAnsi="仿宋_GB2312" w:eastAsia="仿宋_GB2312" w:cs="仿宋_GB2312"/>
          <w:sz w:val="32"/>
          <w:szCs w:val="32"/>
        </w:rPr>
        <w:t>“僵尸型”社会组织整治名单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</w:t>
      </w: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（一）连续未参加2020年度、2021年度检查(年报)的社会组织。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（二）自取得登记证书之日起1年未开展活动的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新成立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-2021年连续两年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未按照章程规定的业务范围对外开展业务活动的社会组织。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（四）通过登记的住所、法定代表人等方式无法取得联系的社会组织。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（五）存在</w:t>
      </w:r>
      <w:r>
        <w:rPr>
          <w:rFonts w:ascii="仿宋_GB2312" w:hAnsi="仿宋_GB2312" w:eastAsia="仿宋_GB2312" w:cs="仿宋_GB2312"/>
          <w:sz w:val="32"/>
          <w:szCs w:val="32"/>
        </w:rPr>
        <w:t>延迟换届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超过1年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</w:t>
      </w:r>
      <w:r>
        <w:rPr>
          <w:rFonts w:ascii="仿宋_GB2312" w:hAnsi="仿宋_GB2312" w:eastAsia="仿宋_GB2312" w:cs="仿宋_GB2312"/>
          <w:sz w:val="32"/>
          <w:szCs w:val="32"/>
        </w:rPr>
        <w:t>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</w:t>
      </w:r>
      <w:r>
        <w:rPr>
          <w:rFonts w:ascii="仿宋_GB2312" w:hAnsi="仿宋_GB2312" w:eastAsia="仿宋_GB2312" w:cs="仿宋_GB2312"/>
          <w:sz w:val="32"/>
          <w:szCs w:val="32"/>
        </w:rPr>
        <w:t>空缺</w:t>
      </w:r>
      <w:r>
        <w:rPr>
          <w:rFonts w:hint="eastAsia" w:ascii="仿宋_GB2312" w:hAnsi="仿宋_GB2312" w:eastAsia="仿宋_GB2312" w:cs="仿宋_GB2312"/>
          <w:sz w:val="32"/>
          <w:szCs w:val="32"/>
        </w:rPr>
        <w:t>3个</w:t>
      </w:r>
      <w:r>
        <w:rPr>
          <w:rFonts w:ascii="仿宋_GB2312" w:hAnsi="仿宋_GB2312" w:eastAsia="仿宋_GB2312" w:cs="仿宋_GB2312"/>
          <w:sz w:val="32"/>
          <w:szCs w:val="32"/>
        </w:rPr>
        <w:t>月以上，未按要求召开理事会议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</w:t>
      </w:r>
      <w:r>
        <w:rPr>
          <w:rFonts w:ascii="仿宋_GB2312" w:hAnsi="仿宋_GB2312" w:eastAsia="仿宋_GB2312" w:cs="仿宋_GB2312"/>
          <w:sz w:val="32"/>
          <w:szCs w:val="32"/>
        </w:rPr>
        <w:t>及内部管理混乱已处于</w:t>
      </w:r>
      <w:r>
        <w:rPr>
          <w:rFonts w:hint="eastAsia" w:ascii="仿宋_GB2312" w:hAnsi="仿宋_GB2312" w:eastAsia="仿宋_GB2312" w:cs="仿宋_GB2312"/>
          <w:sz w:val="32"/>
          <w:szCs w:val="32"/>
        </w:rPr>
        <w:t>治理</w:t>
      </w:r>
      <w:r>
        <w:rPr>
          <w:rFonts w:ascii="仿宋_GB2312" w:hAnsi="仿宋_GB2312" w:eastAsia="仿宋_GB2312" w:cs="仿宋_GB2312"/>
          <w:sz w:val="32"/>
          <w:szCs w:val="32"/>
        </w:rPr>
        <w:t>僵局等情形的社会组织。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三、</w:t>
      </w:r>
      <w:r>
        <w:rPr>
          <w:rFonts w:ascii="黑体" w:hAnsi="黑体" w:eastAsia="黑体" w:cs="楷体"/>
          <w:sz w:val="32"/>
          <w:szCs w:val="32"/>
        </w:rPr>
        <w:t>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（一）分类开展整治。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</w:t>
      </w:r>
      <w:r>
        <w:rPr>
          <w:rFonts w:ascii="仿宋_GB2312" w:hAnsi="仿宋_GB2312" w:eastAsia="仿宋_GB2312" w:cs="仿宋_GB2312"/>
          <w:sz w:val="32"/>
          <w:szCs w:val="32"/>
        </w:rPr>
        <w:t>确定的整治名单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，按照“谁主管、谁负责”的原则，分</w:t>
      </w:r>
      <w:r>
        <w:rPr>
          <w:rFonts w:ascii="仿宋_GB2312" w:hAnsi="仿宋_GB2312" w:eastAsia="仿宋_GB2312" w:cs="仿宋_GB2312"/>
          <w:sz w:val="32"/>
          <w:szCs w:val="32"/>
        </w:rPr>
        <w:t>以下四类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进行整治。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撤销登记。对存在撤销登记情形的社会组织，登记管理机关依法及时予以撤销登记。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吊销登记证书。对存在吊销登记证书情形的慈善组织，登记管理机关依法予以吊销登记证书。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注销登记。对符合注销登记情形的社会组织，业务主管单位督促并指导社会组织成立清算组开展清算工作后，按法定程序办理注销登记手续。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限期整改。对可以通过整改激活的社会组织，协调业务主管单位等相关部门指导社会组织提出合法</w:t>
      </w:r>
      <w:r>
        <w:rPr>
          <w:rFonts w:ascii="仿宋_GB2312" w:hAnsi="仿宋_GB2312" w:eastAsia="仿宋_GB2312" w:cs="仿宋_GB2312"/>
          <w:sz w:val="32"/>
          <w:szCs w:val="32"/>
        </w:rPr>
        <w:t>合规、切实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可行的整改方案（包括</w:t>
      </w:r>
      <w:r>
        <w:rPr>
          <w:rFonts w:ascii="仿宋_GB2312" w:hAnsi="仿宋_GB2312" w:eastAsia="仿宋_GB2312" w:cs="仿宋_GB2312"/>
          <w:sz w:val="32"/>
          <w:szCs w:val="32"/>
        </w:rPr>
        <w:t>改正、重整、合并、更名等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提出具体的整改措施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、整改</w:t>
      </w:r>
      <w:r>
        <w:rPr>
          <w:rFonts w:ascii="仿宋_GB2312" w:hAnsi="仿宋_GB2312" w:eastAsia="仿宋_GB2312" w:cs="仿宋_GB2312"/>
          <w:sz w:val="32"/>
          <w:szCs w:val="32"/>
        </w:rPr>
        <w:t>期限和责任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（二</w:t>
      </w:r>
      <w:r>
        <w:rPr>
          <w:rFonts w:ascii="仿宋_GB2312" w:hAnsi="楷体" w:eastAsia="仿宋_GB2312" w:cs="楷体"/>
          <w:b/>
          <w:sz w:val="32"/>
          <w:szCs w:val="32"/>
        </w:rPr>
        <w:t>）</w:t>
      </w:r>
      <w:r>
        <w:rPr>
          <w:rFonts w:hint="eastAsia" w:ascii="仿宋_GB2312" w:hAnsi="楷体" w:eastAsia="仿宋_GB2312" w:cs="楷体"/>
          <w:b/>
          <w:sz w:val="32"/>
          <w:szCs w:val="32"/>
        </w:rPr>
        <w:t>依法依</w:t>
      </w:r>
      <w:r>
        <w:rPr>
          <w:rFonts w:ascii="仿宋_GB2312" w:hAnsi="楷体" w:eastAsia="仿宋_GB2312" w:cs="楷体"/>
          <w:b/>
          <w:sz w:val="32"/>
          <w:szCs w:val="32"/>
        </w:rPr>
        <w:t>规</w:t>
      </w:r>
      <w:r>
        <w:rPr>
          <w:rFonts w:hint="eastAsia" w:ascii="仿宋_GB2312" w:hAnsi="楷体" w:eastAsia="仿宋_GB2312" w:cs="楷体"/>
          <w:b/>
          <w:sz w:val="32"/>
          <w:szCs w:val="32"/>
        </w:rPr>
        <w:t>组织实施。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会同业务主管单位（行业管理部门）做好</w:t>
      </w:r>
      <w:r>
        <w:rPr>
          <w:rFonts w:hint="eastAsia" w:eastAsia="仿宋_GB2312"/>
          <w:sz w:val="32"/>
          <w:szCs w:val="32"/>
        </w:rPr>
        <w:t>省本级“僵尸型”社会组织的整治工作。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1.合理</w:t>
      </w:r>
      <w:r>
        <w:rPr>
          <w:rFonts w:ascii="仿宋_GB2312" w:hAnsi="仿宋_GB2312" w:eastAsia="仿宋_GB2312" w:cs="仿宋_GB2312"/>
          <w:sz w:val="32"/>
          <w:szCs w:val="32"/>
        </w:rPr>
        <w:t>确定整治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对象。</w:t>
      </w:r>
      <w:r>
        <w:rPr>
          <w:rFonts w:eastAsia="仿宋_GB2312"/>
          <w:sz w:val="32"/>
          <w:szCs w:val="32"/>
        </w:rPr>
        <w:t>依据</w:t>
      </w:r>
      <w:r>
        <w:rPr>
          <w:rFonts w:hint="eastAsia" w:eastAsia="仿宋_GB2312"/>
          <w:sz w:val="32"/>
          <w:szCs w:val="32"/>
        </w:rPr>
        <w:t>《省本级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“僵尸型”社会组织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整治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名单</w:t>
      </w:r>
      <w:r>
        <w:rPr>
          <w:rFonts w:hint="eastAsia" w:eastAsia="仿宋_GB2312"/>
          <w:sz w:val="32"/>
          <w:szCs w:val="32"/>
        </w:rPr>
        <w:t>》</w:t>
      </w:r>
      <w:r>
        <w:rPr>
          <w:rFonts w:hint="eastAsia" w:ascii="仿宋_GB2312" w:hAnsi="Helvetica Neue" w:eastAsia="仿宋_GB2312"/>
          <w:sz w:val="32"/>
          <w:szCs w:val="32"/>
        </w:rPr>
        <w:t>，由相关业务主管单位（行业管理部门）与</w:t>
      </w:r>
      <w:r>
        <w:rPr>
          <w:rFonts w:ascii="仿宋_GB2312" w:hAnsi="Helvetica Neue" w:eastAsia="仿宋_GB2312"/>
          <w:sz w:val="32"/>
          <w:szCs w:val="32"/>
        </w:rPr>
        <w:t>社会组织</w:t>
      </w:r>
      <w:r>
        <w:rPr>
          <w:rFonts w:hint="eastAsia" w:ascii="仿宋_GB2312" w:hAnsi="Helvetica Neue" w:eastAsia="仿宋_GB2312"/>
          <w:sz w:val="32"/>
          <w:szCs w:val="32"/>
        </w:rPr>
        <w:t>进行</w:t>
      </w:r>
      <w:r>
        <w:rPr>
          <w:rFonts w:ascii="仿宋_GB2312" w:hAnsi="Helvetica Neue" w:eastAsia="仿宋_GB2312"/>
          <w:sz w:val="32"/>
          <w:szCs w:val="32"/>
        </w:rPr>
        <w:t>沟通</w:t>
      </w:r>
      <w:r>
        <w:rPr>
          <w:rFonts w:hint="eastAsia" w:ascii="仿宋_GB2312" w:hAnsi="Helvetica Neue" w:eastAsia="仿宋_GB2312"/>
          <w:sz w:val="32"/>
          <w:szCs w:val="32"/>
        </w:rPr>
        <w:t>，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提出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整治意见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，会同省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社会组织管理局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研究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确定整治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方案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。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请于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月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  <w:lang w:val="en-US" w:eastAsia="zh-CN"/>
        </w:rPr>
        <w:t>底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前，填报《拟纳入“僵尸型”社会组织整治对象统计表》（见附件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2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），函送省社会组织管理局，同时发送电子版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  <w:lang w:eastAsia="zh-CN"/>
        </w:rPr>
        <w:t>至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jlssgj@126.com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邮箱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楷体_GB2312" w:eastAsia="仿宋_GB2312" w:cs="楷体_GB2312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2.依法依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规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实施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整治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。对注销、吊销登记证书的社会组织，由省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社会组织管理局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督促其到省政务大厅办理相关手续，并形成工作记录；对撤销的社会组织，尤其是无法取得联系的社会组织，省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社会组织管理局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协同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业务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主管单位（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行业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管理部门）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进行实地调查取证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，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形成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执法卷宗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，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并面向社会公告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；对限期整改的社会组织，省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社会组织管理局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协同业务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主管单位（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行业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管理部门）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每周向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社会组织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调度一次整改情况，直至整改完毕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3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.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分期进行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公示。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社会组织管理局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分期在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  <w:lang w:val="en-US" w:eastAsia="zh-CN"/>
        </w:rPr>
        <w:t>省民政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厅网站对省本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级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“僵尸型”社会组织整治结果进行公开。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12月10日前，省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社会组织管理局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总结整治工作情况，形成专题报告，并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通报至各业务主管单位（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行业</w:t>
      </w:r>
      <w:r>
        <w:rPr>
          <w:rFonts w:ascii="仿宋_GB2312" w:hAnsi="楷体_GB2312" w:eastAsia="仿宋_GB2312" w:cs="楷体_GB2312"/>
          <w:kern w:val="0"/>
          <w:sz w:val="32"/>
          <w:szCs w:val="32"/>
        </w:rPr>
        <w:t>管理部门）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（一）提高思想认识，加强组织领导。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各业务主管单位（行业管理部门）要高度重视，提高政治站位，充分认识清理“僵尸型”社会组织的重要性和必要性，进一步增强使命感和责任感，加大指导力度，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明确专人负责，确保整治工作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取得实效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（二）强化部门协同，形成工作合力。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社会组织管理局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发挥牵头作用，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加强工作统筹谋划。各业务主管单位（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行业管理部门）要加强协同配合，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按工作职责加强对社会组织内部治理、业务活动等方面的管理，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及时通报整治工作情况。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（三）加强宣传引导，形成长效机制。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各业务主管单位（行业管理部门）加强对</w:t>
      </w:r>
      <w:r>
        <w:rPr>
          <w:rFonts w:ascii="仿宋_GB2312" w:hAnsi="仿宋_GB2312" w:eastAsia="仿宋_GB2312" w:cs="仿宋_GB2312"/>
          <w:sz w:val="32"/>
          <w:szCs w:val="32"/>
        </w:rPr>
        <w:t>整治工作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宣传和引导，积极营造良好氛围。及时总结整治工作有益经验做法，研究建立“僵尸型”社会组织的预防、监管和执法相结合的长效机制，推动社会组织健康有序发展。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联系人: 张余</w:t>
      </w:r>
      <w:r>
        <w:rPr>
          <w:rFonts w:ascii="仿宋_GB2312" w:hAnsi="仿宋_GB2312" w:eastAsia="仿宋_GB2312" w:cs="仿宋_GB2312"/>
          <w:sz w:val="32"/>
          <w:szCs w:val="32"/>
        </w:rPr>
        <w:t>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刘</w:t>
      </w:r>
      <w:r>
        <w:rPr>
          <w:rFonts w:ascii="仿宋_GB2312" w:hAnsi="仿宋_GB2312" w:eastAsia="仿宋_GB2312" w:cs="仿宋_GB2312"/>
          <w:sz w:val="32"/>
          <w:szCs w:val="32"/>
        </w:rPr>
        <w:t>柏宇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89152035/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19975858609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89152155/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18686616076 </w:t>
      </w:r>
      <w:r>
        <w:rPr>
          <w:rFonts w:ascii="仿宋_GB2312" w:hAnsi="仿宋_GB2312" w:eastAsia="仿宋_GB2312" w:cs="仿宋_GB2312"/>
          <w:color w:val="0000FF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附件：1.《省本级“僵尸型”社会组织整治名单》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</w:rPr>
        <w:t>拟纳入“僵尸型”社会组织整治对象统计表</w:t>
      </w:r>
      <w:r>
        <w:rPr>
          <w:rFonts w:hint="eastAsia" w:ascii="仿宋_GB2312" w:eastAsia="仿宋_GB2312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 w:firstLineChars="125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吉林省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社会组织管理局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省本级“僵尸型”社会组织整治名单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一、社会团体</w:t>
      </w:r>
    </w:p>
    <w:tbl>
      <w:tblPr>
        <w:tblStyle w:val="6"/>
        <w:tblW w:w="961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871"/>
        <w:gridCol w:w="3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吉林省人参商会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吉林省外商投资企业协会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吉林省家具协会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吉林省冶金集体经济协会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吉林省节能协会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吉林省田径协会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吉林省对外贸易经济合作企业协会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吉林省境外就业合作协会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吉林省矿泉水资源协会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吉林省药品质量提升促进会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吉林省安全生产协会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吉林省有机农产品协会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吉林省医疗器械行业协会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吉林省滑雪协会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吉林省调味品行业协会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吉林省无线电定向运动协会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吉林省军工科技创新协会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吉林省环保联合会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吉林省羽毛球协会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吉林省果品行业协会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吉林省旅游文化促进会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吉林省民营医院协会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吉林省公路建设企业协会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吉林省东南亚经济促进会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吉林省工业化工产品协会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吉林省农村青年致富带头人协会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吉林省投资基金业协会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吉林省林场协会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吉林省高速公路运营管理协会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吉林省酒精行业协会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吉林省大米协会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吉林省门窗幕墙协会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吉林省汽车用品行业协会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吉林省杂粮商会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吉林省中小房地产开发商协会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吉林省茶产品流通协会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吉林省计算协会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吉林省松花石商会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吉林省艺术品行业协会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吉林省汽车美容装饰行业协会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吉林省企业信用与社会责任促进会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吉林省保健食品行业协会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吉林省专用汽车协会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吉林省换热器协会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吉林省现代农业企业协会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吉林省室内环境净化行业协会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吉林省标识行业协会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吉林省预算会计研究会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吉林省公众志愿者协会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吉林省慈善总会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吉林省巾帼志愿者协会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吉林省妇女联合会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吉林省法官协会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吉林省高级人民法院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吉林省女法官协会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吉林省高级人民法院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吉林省工商联书画研究会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吉林省工商联化妆品流通企业商会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吉林省工商联商场超市供应商商会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吉林省工商联鞋业商会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吉林省工商联艺术品商会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吉林省工商联门窗业商会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吉林省工商联民营客运行业商会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吉林省工商联电子商务商会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吉林省消防协会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吉林省公务员研究会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吉林省公务员局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吉林省农村经纪人协会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吉林省供销合作社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吉林省保密技术协会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吉林省国家保密局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吉林师范大学校友会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长春汽车工业高等专科学校校友会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吉林省学会研究会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吉林省机械工程学会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吉林省自然辩证法研究会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吉林省油料应用研究会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吉林省草原学会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吉林省农业现代化研究会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吉林省工程图学学会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吉林省汽车工程学会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吉林省环境科学学会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吉林省科技新闻学会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吉林省公路学会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吉林省工程师协会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吉林省免疫学会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吉林省生物治疗学会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吉林省运动医学学会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吉林省医学生物免疫学会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吉林省检验医学学会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吉林省地方金融发展研究会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吉林省旗袍协会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吉林省中老年文化交流协会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吉林省粮食经济学会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吉林省旅游摄影协会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吉林省敬老院管理协会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吉林省行政区划与地名学会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吉林省民贸民品企业家协会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吉林省民族事务委员会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吉林省蒙古语文学会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吉林省民族事务委员会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吉林省农业科技管理研究会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吉林省农业委员会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吉林省华侨历史学会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吉林省侨联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吉林省人防学会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吉林省人民防空办公室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吉林省女检察官协会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吉林省预防职务犯罪协会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吉林省公诉人协会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吉林省行政管理学会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吉林省人民政府办公厅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吉林省人民对外友好协会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吉林省人民政府外事办公室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吉林省经济发展软环境学会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吉林省软环境领导小组办公室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吉林省杂文学会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吉林省领导学学会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吉林省钱币学会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吉林省中国经济史学会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吉林省孔子学会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吉林省价值工程学会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吉林省建筑文化研究会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吉林省修正文化研究会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吉林省建设行业新闻发展促进会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吉林省电影文化学会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吉林省农业与农村经济发展研究会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吉林省统计学会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吉林省工运理论学会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吉林省法律与经济发展研究会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吉林省司法厅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吉林省刑释解教人员安置帮教协会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吉林省司法厅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吉林省发展战略促进会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吉林省农业风险管理研究会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吉林省委农村工作领导小组办公室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吉林省海外联谊会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吉林省委统一战线工作部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吉林省黄埔军校同学会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吉林省委统一战线工作部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吉林省新闻摄影学会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吉林省思想政治工作研究会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吉林省对外文化交流协会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吉林省京剧票友协会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吉林省华人美术家协会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吉林省交响乐协会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吉林省老子研究会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吉林省农民画研究会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吉林省民族文化交流协会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吉林省二人转艺术家协会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吉林省企业文学艺术工作者联合会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吉林省电影家协会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吉林省楹联家协会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吉林省校园文学艺术创作者协会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吉林省萨满文化协会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吉林省企业家文艺家联合会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吉林省社会主义文化发展促进会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吉林省汉语小品诗研究会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吉林省朗诵艺术协会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吉林省信访研究会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吉林省机关党的建设暨思想政治工作研究会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吉林省直机关党工委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吉林省佛教协会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吉林省金融书法家协会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吉林省散文学会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吉林省作家协会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吉林省报告文学学会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吉林省作家协会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吉林省通用航空产业促进会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民航东北地区管理局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吉林省现代金融学会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中国工商银行吉林省分行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吉林省青少年素质教育促进会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中国共产主义青年团吉林省委员会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吉林省学生联合会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中国共产主义青年团吉林省委员会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吉林森工企业文化协会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中国吉林森林工业（集团）总公司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中国国际商会吉林商会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中国贸促会吉委会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吉林省金融会计学会</w:t>
            </w:r>
          </w:p>
        </w:tc>
        <w:tc>
          <w:tcPr>
            <w:tcW w:w="3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中国人民银行长春中心支行</w:t>
            </w:r>
          </w:p>
        </w:tc>
      </w:tr>
    </w:tbl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二、民办非企业单位</w:t>
      </w:r>
    </w:p>
    <w:tbl>
      <w:tblPr>
        <w:tblStyle w:val="6"/>
        <w:tblW w:w="9620" w:type="dxa"/>
        <w:tblInd w:w="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780"/>
        <w:gridCol w:w="4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吉林省平安工程咨询服务中心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长春外国语实验学校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私立松花江大学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中澳合作吉林伊格尔学院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吉林省华茂外语培训中心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吉林省物流经理考试培训中心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吉林工商管理专修学院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吉林省哥伦比亚英语学院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长春阿斯顿英语学校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延边大学科学技术学院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白山职业专修学院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吉林省藏圣堂中医疑难杂症研究所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吉林省佳昌健康体检研究所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吉林省红星养殖研究所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吉林省鹏程胃肠病研究所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吉林省万佳健康体检科学研究院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吉林省神农中药材科学研究院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吉林省紫云抑郁症康复研究所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吉林恒昌高科能源环境技术研究所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吉林省科信清洁发展技术服务中心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吉林省创元非粮能源作物生物工程研究中心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吉林省关东人参研究院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吉林省大力功能性纳米材料研究院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吉林省东锋镁金属科学研究院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吉林省自然村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吉林省华安福利院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吉林省同创社会工作服务中心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吉林省佳林技工学校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吉林省繁荣职业培训学校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吉林省通用职业培训中心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吉林省启韵职业培训学校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吉林省睿智职业培训学校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吉林省吉美职业技能培训学校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吉林省花都美容美发培训学校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吉林电力培训中心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吉林省泰达技工学校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吉林省东泰职业培训学校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吉林省景达职业培训学校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吉林省宏辉职业培训学校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吉林省清大东方消防职业培训学校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吉林省馨梓职业培训学校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吉林省名流职业技能培训学校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吉林省科泰机械工程学校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吉林省正泰职业技术培训中心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吉林省黑加伦鬼剪工作室美容美发学校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吉林省金铖计算机学校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吉林省黑马职业技术培训中心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吉林省质量技术监督职业培训学校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中国洗染行业长春培训站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吉林省民盟三育培训中心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吉林省三泰按摩培训学校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吉林省长城职业培训学校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吉林省电子工业技术学校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吉林省宏达职业技术学校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吉林省宏源卫生职业技能培训学校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吉林省新东方一搏计算机培训学校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吉林省凯帝动画职业培训学校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吉林省泰达职业学校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吉林省财经职业高端培训学校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吉林省千合职业培训学校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吉林省励智计算机培训学校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吉林省万洋福祉技工学校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吉林省祥云服装设计培训学校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吉林省新知本职业培训学校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吉林省亨达职业技能培训学校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吉林省红鹰消防行业培训中心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吉林省金业职业技能培训学校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吉林省思通情感心理咨询中心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吉林省铭仁汽车技工学校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吉林省金保农民工职业技术培训学校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吉林省昌泰职业培训学校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吉林省天罡职业培训学校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吉林省达林消防职业培训学校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吉林省惠尔职业技能培训学校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吉林省睿新职业培训学校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吉林省北人职业培训学校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吉林省弘益朝鲜文化研究中心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吉林省永泰冰壶俱乐部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吉林省酷玩户外俱乐部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吉林省智晟柔道俱乐部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吉林省万佳电子竞技运动俱乐部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吉林省武正玄跆拳道俱乐部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吉林省光大搏击俱乐部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吉林省天翼健身俱乐部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吉林省鼎元桥牌俱乐部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吉林省超越篮球俱乐部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吉林省雪松五子棋俱乐部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吉林省荣耀电子竞技运动俱乐部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吉林省陆玖弓箭俱乐部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吉林铭医整形美容医院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吉林不孕不育医院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吉林硅谷医院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吉林国文医院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吉林安定精神专科医院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吉林高新技术医院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吉林省雅风书画院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吉林省红艺果文化艺术活动中心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吉林省德斐书法院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吉林省爱乐合唱团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吉林省艺术博物馆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吉林省东北亚旅游促进中心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吉林省长白山人参博物馆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吉林汇锋颈腰椎医院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长春市卫生局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三、基金会</w:t>
      </w:r>
    </w:p>
    <w:tbl>
      <w:tblPr>
        <w:tblStyle w:val="6"/>
        <w:tblW w:w="961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910"/>
        <w:gridCol w:w="3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吉林省神华社会救助基金会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吉林省慈善总会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辽源市公安局道路交通事故社会救助基金会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吉林省交通助老基金会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吉林省交通厅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吉林财经大学教育基金会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通化矿业集团扶贫济困基金会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吉林省煤业集团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吉林省人才开发基金会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吉林省敦化市文化发展基金会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辽源市老龄事业发展基金会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辽源市西安区维安法律援助基金会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四平市晚情老龄事业发展基金会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通化市老龄事业发展基金会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吉林省向南开放人才开发基金会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公主岭市玉轩中医医院扶贫基金会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吉林省博友公益基金会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长春市十一高中教育基金会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吉林省吴太慈善基金会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吉林华星公益基金会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吉林省文投公益基金会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拟纳入“僵尸型”社会组织整治对象统计表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      联系</w:t>
      </w:r>
      <w:r>
        <w:rPr>
          <w:rFonts w:ascii="仿宋_GB2312" w:eastAsia="仿宋_GB2312"/>
          <w:sz w:val="32"/>
          <w:szCs w:val="32"/>
        </w:rPr>
        <w:t>人：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办公电话：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手机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tbl>
      <w:tblPr>
        <w:tblStyle w:val="6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2726"/>
        <w:gridCol w:w="25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76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整治方式</w:t>
            </w:r>
          </w:p>
        </w:tc>
        <w:tc>
          <w:tcPr>
            <w:tcW w:w="2726" w:type="dxa"/>
          </w:tcPr>
          <w:p>
            <w:pPr>
              <w:spacing w:line="576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社会组织名称</w:t>
            </w:r>
          </w:p>
        </w:tc>
        <w:tc>
          <w:tcPr>
            <w:tcW w:w="2518" w:type="dxa"/>
          </w:tcPr>
          <w:p>
            <w:pPr>
              <w:spacing w:line="576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整治</w:t>
            </w:r>
            <w:r>
              <w:rPr>
                <w:rFonts w:ascii="黑体" w:hAnsi="黑体" w:eastAsia="黑体"/>
                <w:sz w:val="32"/>
                <w:szCs w:val="32"/>
              </w:rPr>
              <w:t>方案</w:t>
            </w:r>
          </w:p>
        </w:tc>
        <w:tc>
          <w:tcPr>
            <w:tcW w:w="1276" w:type="dxa"/>
          </w:tcPr>
          <w:p>
            <w:pPr>
              <w:spacing w:line="576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注销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登记</w:t>
            </w: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spacing w:line="576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560" w:type="dxa"/>
            <w:vMerge w:val="continue"/>
          </w:tcPr>
          <w:p>
            <w:pPr>
              <w:spacing w:line="576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吊销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登记证书</w:t>
            </w: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spacing w:line="576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560" w:type="dxa"/>
            <w:vMerge w:val="continue"/>
          </w:tcPr>
          <w:p>
            <w:pPr>
              <w:spacing w:line="576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撤销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登记</w:t>
            </w: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spacing w:line="576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560" w:type="dxa"/>
            <w:vMerge w:val="continue"/>
          </w:tcPr>
          <w:p>
            <w:pPr>
              <w:spacing w:line="576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限期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整改</w:t>
            </w: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spacing w:line="576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560" w:type="dxa"/>
            <w:vMerge w:val="continue"/>
          </w:tcPr>
          <w:p>
            <w:pPr>
              <w:spacing w:line="576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其他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措施</w:t>
            </w: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560" w:type="dxa"/>
            <w:vMerge w:val="continue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/>
    <w:sectPr>
      <w:footerReference r:id="rId3" w:type="default"/>
      <w:pgSz w:w="11906" w:h="16838"/>
      <w:pgMar w:top="2098" w:right="1474" w:bottom="1984" w:left="1587" w:header="0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erNUXQAAAAAwEAAA8AAAAAAAAAAQAgAAAAIgAAAGRycy9kb3du&#10;cmV2LnhtbFBLAQIUABQAAAAIAIdO4kCWyngqBwIAAAE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3MjZmMGVhOTJhMmE5ZThlOTVmMWVhZmJmZDkxNmUifQ=="/>
  </w:docVars>
  <w:rsids>
    <w:rsidRoot w:val="00C74C76"/>
    <w:rsid w:val="00064FC1"/>
    <w:rsid w:val="000C1FD4"/>
    <w:rsid w:val="002423B9"/>
    <w:rsid w:val="0026553C"/>
    <w:rsid w:val="002A305B"/>
    <w:rsid w:val="003F2102"/>
    <w:rsid w:val="00403301"/>
    <w:rsid w:val="0053304F"/>
    <w:rsid w:val="005A6585"/>
    <w:rsid w:val="005B1AAC"/>
    <w:rsid w:val="00621E39"/>
    <w:rsid w:val="00624EC7"/>
    <w:rsid w:val="00686D85"/>
    <w:rsid w:val="00697353"/>
    <w:rsid w:val="006B1190"/>
    <w:rsid w:val="007077B3"/>
    <w:rsid w:val="00727764"/>
    <w:rsid w:val="007621CA"/>
    <w:rsid w:val="008B24C1"/>
    <w:rsid w:val="00931021"/>
    <w:rsid w:val="00A60A6B"/>
    <w:rsid w:val="00BB71A0"/>
    <w:rsid w:val="00C05CB1"/>
    <w:rsid w:val="00C34748"/>
    <w:rsid w:val="00C74C76"/>
    <w:rsid w:val="00D23BB3"/>
    <w:rsid w:val="00D531CA"/>
    <w:rsid w:val="00D979CF"/>
    <w:rsid w:val="00DD69F4"/>
    <w:rsid w:val="00F3160E"/>
    <w:rsid w:val="00F51F20"/>
    <w:rsid w:val="00F842AB"/>
    <w:rsid w:val="00FB752D"/>
    <w:rsid w:val="038C4A11"/>
    <w:rsid w:val="04A86D59"/>
    <w:rsid w:val="20CC78A0"/>
    <w:rsid w:val="23A65703"/>
    <w:rsid w:val="2A1D09FD"/>
    <w:rsid w:val="2B5A4170"/>
    <w:rsid w:val="37260BF5"/>
    <w:rsid w:val="38093504"/>
    <w:rsid w:val="3B300166"/>
    <w:rsid w:val="43CF1A01"/>
    <w:rsid w:val="44E266D8"/>
    <w:rsid w:val="4C5F2349"/>
    <w:rsid w:val="5B1E13AB"/>
    <w:rsid w:val="61E82A56"/>
    <w:rsid w:val="7A1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styleId="10">
    <w:name w:val="Hyperlink"/>
    <w:qFormat/>
    <w:uiPriority w:val="0"/>
    <w:rPr>
      <w:color w:val="0563C1"/>
      <w:u w:val="single"/>
    </w:rPr>
  </w:style>
  <w:style w:type="character" w:customStyle="1" w:styleId="11">
    <w:name w:val="批注框文本 字符"/>
    <w:basedOn w:val="8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="Times New Roman" w:hAnsi="Times New Roman" w:eastAsia="宋体" w:cs="Times New Roman"/>
      <w:sz w:val="18"/>
      <w:szCs w:val="21"/>
    </w:rPr>
  </w:style>
  <w:style w:type="character" w:customStyle="1" w:styleId="13">
    <w:name w:val="页眉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21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customStyle="1" w:styleId="15">
    <w:name w:val="font112"/>
    <w:basedOn w:val="8"/>
    <w:qFormat/>
    <w:uiPriority w:val="0"/>
    <w:rPr>
      <w:rFonts w:hint="default" w:ascii="Times New Roman" w:hAnsi="Times New Roman" w:cs="Times New Roman"/>
      <w:color w:val="FF0000"/>
      <w:sz w:val="16"/>
      <w:szCs w:val="16"/>
      <w:u w:val="none"/>
    </w:rPr>
  </w:style>
  <w:style w:type="character" w:customStyle="1" w:styleId="16">
    <w:name w:val="font71"/>
    <w:basedOn w:val="8"/>
    <w:qFormat/>
    <w:uiPriority w:val="0"/>
    <w:rPr>
      <w:rFonts w:hint="eastAsia" w:ascii="宋体" w:hAnsi="宋体" w:eastAsia="宋体" w:cs="宋体"/>
      <w:b/>
      <w:bCs/>
      <w:color w:val="FF0000"/>
      <w:sz w:val="16"/>
      <w:szCs w:val="16"/>
      <w:u w:val="none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18">
    <w:name w:val="font121"/>
    <w:basedOn w:val="8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character" w:customStyle="1" w:styleId="19">
    <w:name w:val="font8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20">
    <w:name w:val="font21"/>
    <w:basedOn w:val="8"/>
    <w:qFormat/>
    <w:uiPriority w:val="0"/>
    <w:rPr>
      <w:rFonts w:hint="eastAsia" w:ascii="宋体" w:hAnsi="宋体" w:eastAsia="宋体" w:cs="宋体"/>
      <w:color w:val="00B0F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7322</Words>
  <Characters>7720</Characters>
  <Lines>16</Lines>
  <Paragraphs>4</Paragraphs>
  <TotalTime>24</TotalTime>
  <ScaleCrop>false</ScaleCrop>
  <LinksUpToDate>false</LinksUpToDate>
  <CharactersWithSpaces>7750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2022-04-19T05:50:00Z</dcterms:created>
  <dc:creator>123</dc:creator>
  <cp:lastModifiedBy>方二</cp:lastModifiedBy>
  <cp:lastPrinted>2022-05-11T02:59:00Z</cp:lastPrinted>
  <dcterms:modified xsi:type="dcterms:W3CDTF">2022-05-25T03:14:54Z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EF175720426B4759A3C25BCCCB48AD6B</vt:lpwstr>
  </property>
</Properties>
</file>